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41" w:rsidRDefault="0037638E">
      <w:r>
        <w:rPr>
          <w:noProof/>
          <w:lang w:val="ru-RU" w:eastAsia="ru-RU"/>
        </w:rPr>
        <w:drawing>
          <wp:inline distT="0" distB="0" distL="0" distR="0">
            <wp:extent cx="5937250" cy="18288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рменный бланк Арбитражная палата Казахстана-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7250" cy="1828800"/>
                    </a:xfrm>
                    <a:prstGeom prst="rect">
                      <a:avLst/>
                    </a:prstGeom>
                  </pic:spPr>
                </pic:pic>
              </a:graphicData>
            </a:graphic>
          </wp:inline>
        </w:drawing>
      </w:r>
    </w:p>
    <w:p w:rsidR="0037638E" w:rsidRDefault="0037638E" w:rsidP="00183298">
      <w:pPr>
        <w:ind w:left="5387"/>
        <w:rPr>
          <w:rFonts w:ascii="Times New Roman" w:hAnsi="Times New Roman" w:cs="Times New Roman"/>
          <w:lang w:val="ru-RU"/>
        </w:rPr>
      </w:pPr>
    </w:p>
    <w:p w:rsidR="00183298" w:rsidRPr="00183298" w:rsidRDefault="00183298" w:rsidP="00183298">
      <w:pPr>
        <w:shd w:val="clear" w:color="auto" w:fill="FFFFFF"/>
        <w:ind w:firstLine="709"/>
        <w:jc w:val="both"/>
        <w:rPr>
          <w:rFonts w:ascii="Times New Roman" w:eastAsia="Times New Roman" w:hAnsi="Times New Roman" w:cs="Times New Roman"/>
          <w:color w:val="000000"/>
          <w:lang w:val="ru-RU" w:eastAsia="ru-RU"/>
        </w:rPr>
      </w:pPr>
      <w:r w:rsidRPr="00183298">
        <w:rPr>
          <w:rFonts w:ascii="Times New Roman" w:eastAsia="Times New Roman" w:hAnsi="Times New Roman" w:cs="Times New Roman"/>
          <w:color w:val="000000"/>
          <w:lang w:val="ru-RU" w:eastAsia="ru-RU"/>
        </w:rPr>
        <w:t>«</w:t>
      </w:r>
      <w:r w:rsidR="00B869BE">
        <w:rPr>
          <w:rFonts w:ascii="Times New Roman" w:eastAsia="Times New Roman" w:hAnsi="Times New Roman" w:cs="Times New Roman"/>
          <w:color w:val="000000"/>
          <w:lang w:val="ru-RU" w:eastAsia="ru-RU"/>
        </w:rPr>
        <w:t>20</w:t>
      </w:r>
      <w:r w:rsidRPr="00183298">
        <w:rPr>
          <w:rFonts w:ascii="Times New Roman" w:eastAsia="Times New Roman" w:hAnsi="Times New Roman" w:cs="Times New Roman"/>
          <w:color w:val="000000"/>
          <w:lang w:val="ru-RU" w:eastAsia="ru-RU"/>
        </w:rPr>
        <w:t>» марта 2020 г.</w:t>
      </w:r>
    </w:p>
    <w:p w:rsidR="00017310" w:rsidRDefault="00017310" w:rsidP="00017310">
      <w:pPr>
        <w:shd w:val="clear" w:color="auto" w:fill="FFFFFF"/>
        <w:ind w:left="5670"/>
        <w:rPr>
          <w:rFonts w:ascii="Times New Roman" w:eastAsia="Times New Roman" w:hAnsi="Times New Roman" w:cs="Times New Roman"/>
          <w:b/>
          <w:color w:val="000000"/>
          <w:lang w:eastAsia="ru-RU"/>
        </w:rPr>
      </w:pPr>
      <w:r w:rsidRPr="00017310">
        <w:rPr>
          <w:rFonts w:ascii="Times New Roman" w:eastAsia="Times New Roman" w:hAnsi="Times New Roman" w:cs="Times New Roman"/>
          <w:b/>
          <w:color w:val="000000"/>
          <w:lang w:val="ru-RU" w:eastAsia="ru-RU"/>
        </w:rPr>
        <w:t>Д</w:t>
      </w:r>
      <w:r w:rsidRPr="00EA4392">
        <w:rPr>
          <w:rFonts w:ascii="Times New Roman" w:eastAsia="Times New Roman" w:hAnsi="Times New Roman" w:cs="Times New Roman"/>
          <w:b/>
          <w:color w:val="000000"/>
          <w:lang w:eastAsia="ru-RU"/>
        </w:rPr>
        <w:t>иректор</w:t>
      </w:r>
      <w:r w:rsidRPr="00017310">
        <w:rPr>
          <w:rFonts w:ascii="Times New Roman" w:eastAsia="Times New Roman" w:hAnsi="Times New Roman" w:cs="Times New Roman"/>
          <w:b/>
          <w:color w:val="000000"/>
          <w:lang w:val="ru-RU" w:eastAsia="ru-RU"/>
        </w:rPr>
        <w:t>у</w:t>
      </w:r>
      <w:r w:rsidRPr="00EA4392">
        <w:rPr>
          <w:rFonts w:ascii="Times New Roman" w:eastAsia="Times New Roman" w:hAnsi="Times New Roman" w:cs="Times New Roman"/>
          <w:b/>
          <w:color w:val="000000"/>
          <w:lang w:eastAsia="ru-RU"/>
        </w:rPr>
        <w:t xml:space="preserve"> ТОО </w:t>
      </w:r>
    </w:p>
    <w:p w:rsidR="00017310" w:rsidRDefault="00017310" w:rsidP="00017310">
      <w:pPr>
        <w:shd w:val="clear" w:color="auto" w:fill="FFFFFF"/>
        <w:ind w:left="5670"/>
        <w:rPr>
          <w:rFonts w:ascii="Times New Roman" w:eastAsia="Times New Roman" w:hAnsi="Times New Roman" w:cs="Times New Roman"/>
          <w:b/>
          <w:color w:val="000000"/>
          <w:lang w:eastAsia="ru-RU"/>
        </w:rPr>
      </w:pPr>
      <w:r w:rsidRPr="00EA4392">
        <w:rPr>
          <w:rFonts w:ascii="Times New Roman" w:eastAsia="Times New Roman" w:hAnsi="Times New Roman" w:cs="Times New Roman"/>
          <w:b/>
          <w:color w:val="000000"/>
          <w:lang w:eastAsia="ru-RU"/>
        </w:rPr>
        <w:t xml:space="preserve">«Юридическая компания </w:t>
      </w:r>
    </w:p>
    <w:p w:rsidR="00017310" w:rsidRPr="00017310" w:rsidRDefault="00017310" w:rsidP="00017310">
      <w:pPr>
        <w:shd w:val="clear" w:color="auto" w:fill="FFFFFF"/>
        <w:ind w:left="5670"/>
        <w:rPr>
          <w:rFonts w:ascii="Times New Roman" w:eastAsia="Times New Roman" w:hAnsi="Times New Roman" w:cs="Times New Roman"/>
          <w:b/>
          <w:color w:val="000000"/>
          <w:lang w:eastAsia="ru-RU"/>
        </w:rPr>
      </w:pPr>
      <w:r w:rsidRPr="00EA4392">
        <w:rPr>
          <w:rFonts w:ascii="Times New Roman" w:eastAsia="Times New Roman" w:hAnsi="Times New Roman" w:cs="Times New Roman"/>
          <w:b/>
          <w:color w:val="000000"/>
          <w:lang w:eastAsia="ru-RU"/>
        </w:rPr>
        <w:t>«DN GROUP»</w:t>
      </w:r>
      <w:r>
        <w:rPr>
          <w:rFonts w:ascii="Times New Roman" w:eastAsia="Times New Roman" w:hAnsi="Times New Roman" w:cs="Times New Roman"/>
          <w:b/>
          <w:color w:val="000000"/>
          <w:lang w:val="ru-RU" w:eastAsia="ru-RU"/>
        </w:rPr>
        <w:t xml:space="preserve"> г-же </w:t>
      </w:r>
      <w:r w:rsidRPr="00EA4392">
        <w:rPr>
          <w:rFonts w:ascii="Times New Roman" w:eastAsia="Times New Roman" w:hAnsi="Times New Roman" w:cs="Times New Roman"/>
          <w:b/>
          <w:color w:val="000000"/>
          <w:lang w:eastAsia="ru-RU"/>
        </w:rPr>
        <w:t>Ибраев</w:t>
      </w:r>
      <w:r w:rsidRPr="00017310">
        <w:rPr>
          <w:rFonts w:ascii="Times New Roman" w:eastAsia="Times New Roman" w:hAnsi="Times New Roman" w:cs="Times New Roman"/>
          <w:b/>
          <w:color w:val="000000"/>
          <w:lang w:val="ru-RU" w:eastAsia="ru-RU"/>
        </w:rPr>
        <w:t>ой З.Д.</w:t>
      </w:r>
      <w:r w:rsidRPr="00017310">
        <w:rPr>
          <w:rFonts w:ascii="Times New Roman" w:eastAsia="Times New Roman" w:hAnsi="Times New Roman" w:cs="Times New Roman"/>
          <w:b/>
          <w:color w:val="000000"/>
          <w:lang w:eastAsia="ru-RU"/>
        </w:rPr>
        <w:t xml:space="preserve"> </w:t>
      </w:r>
    </w:p>
    <w:p w:rsidR="00017310" w:rsidRPr="00017310" w:rsidRDefault="00017310" w:rsidP="00017310">
      <w:pPr>
        <w:shd w:val="clear" w:color="auto" w:fill="FFFFFF"/>
        <w:rPr>
          <w:rFonts w:ascii="Times New Roman" w:eastAsia="Times New Roman" w:hAnsi="Times New Roman" w:cs="Times New Roman"/>
          <w:b/>
          <w:color w:val="000000"/>
          <w:lang w:eastAsia="ru-RU"/>
        </w:rPr>
      </w:pPr>
    </w:p>
    <w:p w:rsidR="009D1A32" w:rsidRPr="00017310" w:rsidRDefault="00017310" w:rsidP="00017310">
      <w:pPr>
        <w:shd w:val="clear" w:color="auto" w:fill="FFFFFF"/>
        <w:jc w:val="center"/>
        <w:rPr>
          <w:rFonts w:ascii="Times New Roman" w:hAnsi="Times New Roman" w:cs="Times New Roman"/>
          <w:b/>
          <w:lang w:val="ru-RU"/>
        </w:rPr>
      </w:pPr>
      <w:r w:rsidRPr="00017310">
        <w:rPr>
          <w:rFonts w:ascii="Times New Roman" w:eastAsia="Times New Roman" w:hAnsi="Times New Roman" w:cs="Times New Roman"/>
          <w:b/>
          <w:color w:val="000000"/>
          <w:lang w:val="ru-RU" w:eastAsia="ru-RU"/>
        </w:rPr>
        <w:t xml:space="preserve">Уважаемая </w:t>
      </w:r>
      <w:r w:rsidRPr="00EA4392">
        <w:rPr>
          <w:rFonts w:ascii="Times New Roman" w:eastAsia="Times New Roman" w:hAnsi="Times New Roman" w:cs="Times New Roman"/>
          <w:b/>
          <w:color w:val="000000"/>
          <w:lang w:eastAsia="ru-RU"/>
        </w:rPr>
        <w:t>Зульфия Далгатовна</w:t>
      </w:r>
      <w:r w:rsidRPr="00017310">
        <w:rPr>
          <w:rFonts w:ascii="Times New Roman" w:eastAsia="Times New Roman" w:hAnsi="Times New Roman" w:cs="Times New Roman"/>
          <w:b/>
          <w:color w:val="000000"/>
          <w:lang w:val="ru-RU" w:eastAsia="ru-RU"/>
        </w:rPr>
        <w:t>!</w:t>
      </w:r>
    </w:p>
    <w:p w:rsidR="009D1A32" w:rsidRPr="00017310" w:rsidRDefault="009D1A32" w:rsidP="009D1A32">
      <w:pPr>
        <w:jc w:val="both"/>
        <w:rPr>
          <w:rFonts w:ascii="Times New Roman" w:hAnsi="Times New Roman" w:cs="Times New Roman"/>
          <w:b/>
          <w:lang w:val="ru-RU"/>
        </w:rPr>
      </w:pPr>
    </w:p>
    <w:p w:rsidR="007E76B5" w:rsidRDefault="00017310" w:rsidP="007E76B5">
      <w:pPr>
        <w:ind w:firstLine="709"/>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Арбитражная палата Казахстана, рассмотрев Ваш запрос, поступивший по электронной почте 18 марта 2020 года, сообщает следующее.</w:t>
      </w:r>
    </w:p>
    <w:p w:rsidR="00017310" w:rsidRDefault="007E76B5" w:rsidP="009D1A32">
      <w:pPr>
        <w:ind w:firstLine="709"/>
        <w:jc w:val="both"/>
        <w:rPr>
          <w:rFonts w:ascii="Times New Roman" w:hAnsi="Times New Roman" w:cs="Times New Roman"/>
        </w:rPr>
      </w:pPr>
      <w:r w:rsidRPr="002F5D67">
        <w:rPr>
          <w:rFonts w:ascii="Times New Roman" w:hAnsi="Times New Roman" w:cs="Times New Roman"/>
        </w:rPr>
        <w:t>В соответствии с подпунктами 2) и 7-1) п. 1 ст. 12 Закона</w:t>
      </w:r>
      <w:r w:rsidRPr="007E76B5">
        <w:rPr>
          <w:rFonts w:ascii="Times New Roman" w:hAnsi="Times New Roman" w:cs="Times New Roman"/>
        </w:rPr>
        <w:t xml:space="preserve"> </w:t>
      </w:r>
      <w:r w:rsidRPr="000738E9">
        <w:rPr>
          <w:rFonts w:ascii="Times New Roman" w:hAnsi="Times New Roman" w:cs="Times New Roman"/>
        </w:rPr>
        <w:t>Республики Казахстан от 8 апреля 2016 года «Об арбитраже»</w:t>
      </w:r>
      <w:r>
        <w:rPr>
          <w:rFonts w:ascii="Times New Roman" w:hAnsi="Times New Roman" w:cs="Times New Roman"/>
        </w:rPr>
        <w:t xml:space="preserve"> </w:t>
      </w:r>
      <w:r w:rsidRPr="000738E9">
        <w:rPr>
          <w:rFonts w:ascii="Times New Roman" w:hAnsi="Times New Roman" w:cs="Times New Roman"/>
        </w:rPr>
        <w:t>(далее – Закон об арб</w:t>
      </w:r>
      <w:r>
        <w:rPr>
          <w:rFonts w:ascii="Times New Roman" w:hAnsi="Times New Roman" w:cs="Times New Roman"/>
        </w:rPr>
        <w:t>итраже)</w:t>
      </w:r>
      <w:r w:rsidRPr="002F5D67">
        <w:rPr>
          <w:rFonts w:ascii="Times New Roman" w:hAnsi="Times New Roman" w:cs="Times New Roman"/>
        </w:rPr>
        <w:t xml:space="preserve"> в полномочия Арбитражной палаты входит мониторинг состояния арбитражной деятельности в Республике Казахстан, а также представление экспертных заключений по отдельным вопросам законодательства Республики Казахстан об арбитраже и практике его применения, которые </w:t>
      </w:r>
      <w:r>
        <w:rPr>
          <w:rFonts w:ascii="Times New Roman" w:hAnsi="Times New Roman" w:cs="Times New Roman"/>
        </w:rPr>
        <w:t>носят рекомендательный характер.</w:t>
      </w:r>
    </w:p>
    <w:p w:rsidR="00DA5C42" w:rsidRPr="00DA5C42" w:rsidRDefault="00DA5C42" w:rsidP="00DA5C42">
      <w:pPr>
        <w:ind w:firstLine="709"/>
        <w:jc w:val="both"/>
        <w:rPr>
          <w:rFonts w:ascii="Times New Roman" w:hAnsi="Times New Roman" w:cs="Times New Roman"/>
          <w:lang w:val="ru-RU"/>
        </w:rPr>
      </w:pPr>
      <w:r>
        <w:rPr>
          <w:rFonts w:ascii="Times New Roman" w:hAnsi="Times New Roman" w:cs="Times New Roman"/>
          <w:lang w:val="ru-RU"/>
        </w:rPr>
        <w:t xml:space="preserve">В связи имеющимися в судебной практике проблемами в правильном применении положений п. 4 ст. 8 Закона об арбитраже Арбитражная палата Казахстана в феврале текущего года обратилась </w:t>
      </w:r>
      <w:r>
        <w:rPr>
          <w:rFonts w:ascii="Times New Roman" w:hAnsi="Times New Roman" w:cs="Times New Roman"/>
          <w:lang w:val="ru-RU"/>
        </w:rPr>
        <w:t>в Верховный Суд Республики Казахстан</w:t>
      </w:r>
      <w:r>
        <w:rPr>
          <w:rFonts w:ascii="Times New Roman" w:hAnsi="Times New Roman" w:cs="Times New Roman"/>
          <w:lang w:val="ru-RU"/>
        </w:rPr>
        <w:t xml:space="preserve"> с письмом, содержащим разъяснения в том числе по данному вопросу. С текстом письма можно ознакомиться на сайте Арбитражной палаты</w:t>
      </w:r>
      <w:r>
        <w:rPr>
          <w:rStyle w:val="ac"/>
          <w:rFonts w:ascii="Times New Roman" w:hAnsi="Times New Roman" w:cs="Times New Roman"/>
          <w:lang w:val="ru-RU"/>
        </w:rPr>
        <w:footnoteReference w:id="1"/>
      </w:r>
      <w:r>
        <w:rPr>
          <w:rFonts w:ascii="Times New Roman" w:hAnsi="Times New Roman" w:cs="Times New Roman"/>
          <w:lang w:val="ru-RU"/>
        </w:rPr>
        <w:t xml:space="preserve">.   </w:t>
      </w:r>
    </w:p>
    <w:p w:rsidR="007E76B5" w:rsidRPr="00DA5C42" w:rsidRDefault="007E76B5" w:rsidP="009D1A32">
      <w:pPr>
        <w:ind w:firstLine="709"/>
        <w:jc w:val="both"/>
        <w:rPr>
          <w:rFonts w:ascii="Times New Roman" w:hAnsi="Times New Roman" w:cs="Times New Roman"/>
          <w:color w:val="000000"/>
          <w:shd w:val="clear" w:color="auto" w:fill="FFFFFF"/>
        </w:rPr>
      </w:pPr>
    </w:p>
    <w:p w:rsidR="00017310" w:rsidRPr="00017310" w:rsidRDefault="00017310" w:rsidP="009D1A32">
      <w:pPr>
        <w:ind w:firstLine="709"/>
        <w:jc w:val="both"/>
        <w:rPr>
          <w:rFonts w:ascii="Times New Roman" w:hAnsi="Times New Roman" w:cs="Times New Roman"/>
          <w:b/>
          <w:color w:val="000000"/>
          <w:shd w:val="clear" w:color="auto" w:fill="FFFFFF"/>
          <w:lang w:val="ru-RU"/>
        </w:rPr>
      </w:pPr>
      <w:r w:rsidRPr="00017310">
        <w:rPr>
          <w:rFonts w:ascii="Times New Roman" w:hAnsi="Times New Roman" w:cs="Times New Roman"/>
          <w:b/>
          <w:color w:val="000000"/>
          <w:shd w:val="clear" w:color="auto" w:fill="FFFFFF"/>
          <w:lang w:val="ru-RU"/>
        </w:rPr>
        <w:t>1</w:t>
      </w:r>
      <w:r w:rsidRPr="00017310">
        <w:rPr>
          <w:rFonts w:ascii="Times New Roman" w:hAnsi="Times New Roman" w:cs="Times New Roman"/>
          <w:b/>
          <w:color w:val="000000"/>
          <w:shd w:val="clear" w:color="auto" w:fill="FFFFFF"/>
        </w:rPr>
        <w:t xml:space="preserve">. </w:t>
      </w:r>
      <w:r>
        <w:rPr>
          <w:rFonts w:ascii="Times New Roman" w:hAnsi="Times New Roman" w:cs="Times New Roman"/>
          <w:b/>
          <w:color w:val="000000"/>
          <w:shd w:val="clear" w:color="auto" w:fill="FFFFFF"/>
          <w:lang w:val="ru-RU"/>
        </w:rPr>
        <w:t>Относительно применения пункта 4 статьи 8 Закона об арбитраже (а</w:t>
      </w:r>
      <w:r w:rsidRPr="00017310">
        <w:rPr>
          <w:rFonts w:ascii="Times New Roman" w:hAnsi="Times New Roman" w:cs="Times New Roman"/>
          <w:b/>
          <w:color w:val="000000"/>
          <w:shd w:val="clear" w:color="auto" w:fill="FFFFFF"/>
        </w:rPr>
        <w:t>рбитражное соглашение по договору займа между коммерческой организацией и физическим лицом, не являющимся индивидуальным предпринимателем</w:t>
      </w:r>
      <w:r>
        <w:rPr>
          <w:rFonts w:ascii="Times New Roman" w:hAnsi="Times New Roman" w:cs="Times New Roman"/>
          <w:b/>
          <w:color w:val="000000"/>
          <w:shd w:val="clear" w:color="auto" w:fill="FFFFFF"/>
          <w:lang w:val="ru-RU"/>
        </w:rPr>
        <w:t>)</w:t>
      </w:r>
    </w:p>
    <w:p w:rsidR="00017310" w:rsidRDefault="00017310" w:rsidP="009D1A32">
      <w:pPr>
        <w:ind w:firstLine="709"/>
        <w:jc w:val="both"/>
        <w:rPr>
          <w:color w:val="000000"/>
          <w:sz w:val="21"/>
          <w:szCs w:val="21"/>
          <w:shd w:val="clear" w:color="auto" w:fill="FFFFFF"/>
        </w:rPr>
      </w:pPr>
    </w:p>
    <w:p w:rsidR="00017310" w:rsidRDefault="00017310" w:rsidP="009D1A32">
      <w:pPr>
        <w:ind w:firstLine="709"/>
        <w:jc w:val="both"/>
        <w:rPr>
          <w:rFonts w:ascii="Times New Roman" w:hAnsi="Times New Roman" w:cs="Times New Roman"/>
          <w:color w:val="000000"/>
          <w:shd w:val="clear" w:color="auto" w:fill="FFFFFF"/>
        </w:rPr>
      </w:pPr>
      <w:r w:rsidRPr="00017310">
        <w:rPr>
          <w:rFonts w:ascii="Times New Roman" w:hAnsi="Times New Roman" w:cs="Times New Roman"/>
          <w:color w:val="000000"/>
          <w:shd w:val="clear" w:color="auto" w:fill="FFFFFF"/>
        </w:rPr>
        <w:t>Законом РК от 21.01.2019 г. № 217-VI «О внесении изменений и дополнений в некоторые законодательные акты Республики Казахстан по вопросам усиления защиты права собственности, арбитража, оптимизации судебной нагрузки и дальнейшей гуманизации уголовного законодательства» (далее – Закон от 21.01.2019 г.) пункт 4 статьи 8 Закона об арбитраже был изложен в следующей редакции:</w:t>
      </w:r>
    </w:p>
    <w:p w:rsidR="00017310" w:rsidRDefault="00017310" w:rsidP="009D1A32">
      <w:pPr>
        <w:ind w:firstLine="709"/>
        <w:jc w:val="both"/>
        <w:rPr>
          <w:rFonts w:ascii="Times New Roman" w:hAnsi="Times New Roman" w:cs="Times New Roman"/>
          <w:color w:val="000000"/>
        </w:rPr>
      </w:pPr>
      <w:r w:rsidRPr="00017310">
        <w:rPr>
          <w:rFonts w:ascii="Times New Roman" w:hAnsi="Times New Roman" w:cs="Times New Roman"/>
          <w:color w:val="000000"/>
          <w:shd w:val="clear" w:color="auto" w:fill="FFFFFF"/>
        </w:rPr>
        <w:t>«Арбитражное соглашение о разрешении спора по договору,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(договор присоединения), а также по договору займа между коммерческой организацией и физическим лицом, не являющимся индивидуальным предпринимателем, действительно, если такое соглашение заключено после возникновения оснований для предъявления иска».</w:t>
      </w:r>
    </w:p>
    <w:p w:rsidR="00017310" w:rsidRDefault="00017310" w:rsidP="009D1A32">
      <w:pPr>
        <w:ind w:firstLine="709"/>
        <w:jc w:val="both"/>
        <w:rPr>
          <w:rFonts w:ascii="Times New Roman" w:hAnsi="Times New Roman" w:cs="Times New Roman"/>
          <w:color w:val="000000"/>
        </w:rPr>
      </w:pPr>
      <w:r w:rsidRPr="00017310">
        <w:rPr>
          <w:rFonts w:ascii="Times New Roman" w:hAnsi="Times New Roman" w:cs="Times New Roman"/>
          <w:color w:val="000000"/>
          <w:shd w:val="clear" w:color="auto" w:fill="FFFFFF"/>
        </w:rPr>
        <w:lastRenderedPageBreak/>
        <w:t>Такое дополнение было направлено на защиту слабой стороны в договоре займа между коммерческой организацией и физическим лицом, не являющимся индивидуальным предпринимателем, и введено в действие с 3 февраля 2019 года. Согласно п. 1 и 2 ст. 43 Закона о правовых актах принятый закон обратной силы не имеет, если в нем нет специальной оговорки о распространении закона на ранее возникшие отношения. В связи с тем, что Закон от 21.01.2019 г. не содержит оговорки об обратной силе, данные изменения распространяются только на те арбитражные соглашения, которые были заключены, начиная с 3 февраля 2019 года.</w:t>
      </w:r>
    </w:p>
    <w:p w:rsidR="00017310" w:rsidRDefault="00017310" w:rsidP="009D1A32">
      <w:pPr>
        <w:ind w:firstLine="709"/>
        <w:jc w:val="both"/>
        <w:rPr>
          <w:rFonts w:ascii="Times New Roman" w:hAnsi="Times New Roman" w:cs="Times New Roman"/>
          <w:color w:val="000000"/>
          <w:shd w:val="clear" w:color="auto" w:fill="FFFFFF"/>
        </w:rPr>
      </w:pPr>
      <w:r w:rsidRPr="00017310">
        <w:rPr>
          <w:rFonts w:ascii="Times New Roman" w:hAnsi="Times New Roman" w:cs="Times New Roman"/>
          <w:color w:val="000000"/>
          <w:shd w:val="clear" w:color="auto" w:fill="FFFFFF"/>
        </w:rPr>
        <w:t>Таким образом, начиная с 3 февраля 2019 года в случае включения арбитражной оговорки в договор займа между коммерческой организацией и физическим лицом, не являющимся индивидуальным предпринимателем, до возникновения оснований для предъявления иска, такое арбитражное соглашение является недействительным.</w:t>
      </w:r>
      <w:r w:rsidRPr="00017310">
        <w:rPr>
          <w:rFonts w:ascii="Times New Roman" w:hAnsi="Times New Roman" w:cs="Times New Roman"/>
          <w:color w:val="000000"/>
        </w:rPr>
        <w:br/>
      </w:r>
      <w:r w:rsidRPr="00017310">
        <w:rPr>
          <w:rFonts w:ascii="Times New Roman" w:hAnsi="Times New Roman" w:cs="Times New Roman"/>
          <w:color w:val="000000"/>
          <w:shd w:val="clear" w:color="auto" w:fill="FFFFFF"/>
        </w:rPr>
        <w:t>Однако судебной практике известны случаи, когда суды необоснованно возвращали исковые заявления по таким спорам, ссылаясь в соответствии с подп. 7) п. 1 ст. 152 ГПК на наличие заключенного между сторонами арбитражного соглашения несмотря на то, что такое соглашение является недействительным.</w:t>
      </w:r>
    </w:p>
    <w:p w:rsidR="00017310" w:rsidRDefault="00017310" w:rsidP="009D1A32">
      <w:pPr>
        <w:ind w:firstLine="709"/>
        <w:jc w:val="both"/>
        <w:rPr>
          <w:rFonts w:ascii="Times New Roman" w:hAnsi="Times New Roman" w:cs="Times New Roman"/>
          <w:color w:val="000000"/>
        </w:rPr>
      </w:pPr>
      <w:r w:rsidRPr="00017310">
        <w:rPr>
          <w:rFonts w:ascii="Times New Roman" w:hAnsi="Times New Roman" w:cs="Times New Roman"/>
          <w:color w:val="000000"/>
          <w:shd w:val="clear" w:color="auto" w:fill="FFFFFF"/>
        </w:rPr>
        <w:t>Между тем, подпункт 7) п. 1 ст. 152 ГПК предусматривает, что судья возвращает исковое заявление, если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p w:rsidR="00017310" w:rsidRDefault="00017310" w:rsidP="009D1A32">
      <w:pPr>
        <w:ind w:firstLine="709"/>
        <w:jc w:val="both"/>
        <w:rPr>
          <w:rFonts w:ascii="Times New Roman" w:hAnsi="Times New Roman" w:cs="Times New Roman"/>
          <w:color w:val="000000"/>
        </w:rPr>
      </w:pPr>
      <w:r w:rsidRPr="00017310">
        <w:rPr>
          <w:rFonts w:ascii="Times New Roman" w:hAnsi="Times New Roman" w:cs="Times New Roman"/>
          <w:color w:val="000000"/>
          <w:shd w:val="clear" w:color="auto" w:fill="FFFFFF"/>
        </w:rPr>
        <w:t>В данном случае иное предусмотрено ст. 10 Закона об арбитраже, согласно которой суд, в который подан иск по предмету арбитражного разбирательства, должен, если любая из сторон просит об этом, не позднее представления своего первого заявления по существу спора направить стороны в арбитраж, если не найдет, что арбитражное соглашение недействительно, утратило силу или не может быть исполнено.</w:t>
      </w:r>
    </w:p>
    <w:p w:rsidR="00017310" w:rsidRDefault="00017310" w:rsidP="009D1A32">
      <w:pPr>
        <w:ind w:firstLine="709"/>
        <w:jc w:val="both"/>
        <w:rPr>
          <w:rFonts w:ascii="Times New Roman" w:hAnsi="Times New Roman" w:cs="Times New Roman"/>
          <w:color w:val="000000"/>
          <w:shd w:val="clear" w:color="auto" w:fill="FFFFFF"/>
        </w:rPr>
      </w:pPr>
      <w:r w:rsidRPr="00017310">
        <w:rPr>
          <w:rFonts w:ascii="Times New Roman" w:hAnsi="Times New Roman" w:cs="Times New Roman"/>
          <w:color w:val="000000"/>
          <w:shd w:val="clear" w:color="auto" w:fill="FFFFFF"/>
        </w:rPr>
        <w:t>Таким образом, согласно подп. 7) п. 1 ст. 152 ГПК с учетом ст. 10 Закона об арбитраже суды не должны возвращать исковые заявления при наличии следующих обстоятельств:</w:t>
      </w:r>
    </w:p>
    <w:p w:rsidR="00017310" w:rsidRDefault="00017310" w:rsidP="009D1A32">
      <w:pPr>
        <w:ind w:firstLine="709"/>
        <w:jc w:val="both"/>
        <w:rPr>
          <w:rFonts w:ascii="Times New Roman" w:hAnsi="Times New Roman" w:cs="Times New Roman"/>
          <w:color w:val="000000"/>
        </w:rPr>
      </w:pPr>
      <w:r w:rsidRPr="00017310">
        <w:rPr>
          <w:rFonts w:ascii="Times New Roman" w:hAnsi="Times New Roman" w:cs="Times New Roman"/>
          <w:color w:val="000000"/>
          <w:shd w:val="clear" w:color="auto" w:fill="FFFFFF"/>
        </w:rPr>
        <w:t>1) договор займа был заключен между коммерческой организацией и физическим лицом, не являющимся индивидуальным предпринимателем;</w:t>
      </w:r>
    </w:p>
    <w:p w:rsidR="00017310" w:rsidRDefault="00017310" w:rsidP="009D1A32">
      <w:pPr>
        <w:ind w:firstLine="709"/>
        <w:jc w:val="both"/>
        <w:rPr>
          <w:rFonts w:ascii="Times New Roman" w:hAnsi="Times New Roman" w:cs="Times New Roman"/>
          <w:color w:val="000000"/>
        </w:rPr>
      </w:pPr>
      <w:r w:rsidRPr="00017310">
        <w:rPr>
          <w:rFonts w:ascii="Times New Roman" w:hAnsi="Times New Roman" w:cs="Times New Roman"/>
          <w:color w:val="000000"/>
          <w:shd w:val="clear" w:color="auto" w:fill="FFFFFF"/>
        </w:rPr>
        <w:t>2) арбитражная оговорка была включена в такой договор займа до возникновения оснований для предъявления иска;</w:t>
      </w:r>
    </w:p>
    <w:p w:rsidR="00017310" w:rsidRDefault="00017310" w:rsidP="009D1A32">
      <w:pPr>
        <w:ind w:firstLine="709"/>
        <w:jc w:val="both"/>
        <w:rPr>
          <w:rFonts w:ascii="Times New Roman" w:hAnsi="Times New Roman" w:cs="Times New Roman"/>
          <w:color w:val="000000"/>
        </w:rPr>
      </w:pPr>
      <w:r w:rsidRPr="00017310">
        <w:rPr>
          <w:rFonts w:ascii="Times New Roman" w:hAnsi="Times New Roman" w:cs="Times New Roman"/>
          <w:color w:val="000000"/>
          <w:shd w:val="clear" w:color="auto" w:fill="FFFFFF"/>
        </w:rPr>
        <w:t>3) такой договор займа, содержащий арбитражную оговору, был заключен в период с 3 февраля 2019 года;</w:t>
      </w:r>
    </w:p>
    <w:p w:rsidR="00017310" w:rsidRDefault="00017310" w:rsidP="009D1A32">
      <w:pPr>
        <w:ind w:firstLine="709"/>
        <w:jc w:val="both"/>
        <w:rPr>
          <w:rFonts w:ascii="Times New Roman" w:hAnsi="Times New Roman" w:cs="Times New Roman"/>
          <w:color w:val="000000"/>
        </w:rPr>
      </w:pPr>
      <w:r w:rsidRPr="00017310">
        <w:rPr>
          <w:rFonts w:ascii="Times New Roman" w:hAnsi="Times New Roman" w:cs="Times New Roman"/>
          <w:color w:val="000000"/>
          <w:shd w:val="clear" w:color="auto" w:fill="FFFFFF"/>
        </w:rPr>
        <w:t>4) истец не заявляет самостоятельного требования о недействительности арбитражного соглашения.</w:t>
      </w:r>
    </w:p>
    <w:p w:rsidR="00017310" w:rsidRDefault="00017310" w:rsidP="009D1A32">
      <w:pPr>
        <w:ind w:firstLine="709"/>
        <w:jc w:val="both"/>
        <w:rPr>
          <w:rFonts w:ascii="Times New Roman" w:hAnsi="Times New Roman" w:cs="Times New Roman"/>
          <w:color w:val="000000"/>
        </w:rPr>
      </w:pPr>
      <w:r w:rsidRPr="00017310">
        <w:rPr>
          <w:rFonts w:ascii="Times New Roman" w:hAnsi="Times New Roman" w:cs="Times New Roman"/>
          <w:color w:val="000000"/>
          <w:shd w:val="clear" w:color="auto" w:fill="FFFFFF"/>
        </w:rPr>
        <w:t>Последнее обстоятельство нуждается в отдельном пояснении. Дело в том, что арбитражное соглашение и договор займа являются самостоятельными гражданско-правовыми договорами (сделками).</w:t>
      </w:r>
    </w:p>
    <w:p w:rsidR="00017310" w:rsidRDefault="00017310" w:rsidP="009D1A32">
      <w:pPr>
        <w:ind w:firstLine="709"/>
        <w:jc w:val="both"/>
        <w:rPr>
          <w:rFonts w:ascii="Times New Roman" w:hAnsi="Times New Roman" w:cs="Times New Roman"/>
          <w:color w:val="000000"/>
        </w:rPr>
      </w:pPr>
      <w:r w:rsidRPr="00017310">
        <w:rPr>
          <w:rFonts w:ascii="Times New Roman" w:hAnsi="Times New Roman" w:cs="Times New Roman"/>
          <w:color w:val="000000"/>
          <w:shd w:val="clear" w:color="auto" w:fill="FFFFFF"/>
        </w:rPr>
        <w:t>В соответствии с п. 1 ст. 157 Гражданского кодекса сделка недействительна по основаниям, установленным настоящим Кодексом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 Сделка относится к оспоримой, если ее ничтожность не предусмотрена законодательными актами. В случае возникновения спора о ничтожности сделки, ее недействительность устанавливается судом.</w:t>
      </w:r>
    </w:p>
    <w:p w:rsidR="00017310" w:rsidRDefault="00017310" w:rsidP="009D1A32">
      <w:pPr>
        <w:ind w:firstLine="709"/>
        <w:jc w:val="both"/>
        <w:rPr>
          <w:rFonts w:ascii="Times New Roman" w:hAnsi="Times New Roman" w:cs="Times New Roman"/>
          <w:color w:val="000000"/>
        </w:rPr>
      </w:pPr>
      <w:r w:rsidRPr="00017310">
        <w:rPr>
          <w:rFonts w:ascii="Times New Roman" w:hAnsi="Times New Roman" w:cs="Times New Roman"/>
          <w:color w:val="000000"/>
          <w:shd w:val="clear" w:color="auto" w:fill="FFFFFF"/>
        </w:rPr>
        <w:t>Поскольку п. 4 ст. 8 Закона об арбитраже прямо не предусматривает ничтожности такого арбитражного соглашения, оно является недействительной оспоримой сделкой. Поэтому в том случае, если истец оспаривает действительность арбитражного соглашения, то органом, компетентным рассматривать такой спор является не суд, а согласно предусмотренному Законом об арбитраже принципу «компетенции-компетенции» арбитраж, указанный в оспариваемом арбитражном соглашении.</w:t>
      </w:r>
    </w:p>
    <w:p w:rsidR="00017310" w:rsidRDefault="00017310" w:rsidP="009D1A32">
      <w:pPr>
        <w:ind w:firstLine="709"/>
        <w:jc w:val="both"/>
        <w:rPr>
          <w:rFonts w:ascii="Times New Roman" w:hAnsi="Times New Roman" w:cs="Times New Roman"/>
          <w:color w:val="000000"/>
          <w:shd w:val="clear" w:color="auto" w:fill="FFFFFF"/>
        </w:rPr>
      </w:pPr>
      <w:r w:rsidRPr="00017310">
        <w:rPr>
          <w:rFonts w:ascii="Times New Roman" w:hAnsi="Times New Roman" w:cs="Times New Roman"/>
          <w:color w:val="000000"/>
          <w:shd w:val="clear" w:color="auto" w:fill="FFFFFF"/>
        </w:rPr>
        <w:lastRenderedPageBreak/>
        <w:t>Согласно п. 1 ст. 20 Закона об арбитраже арбитраж самостоятельно решает вопрос о наличии или отсутствии у него полномочий (юрисдикции) рассматривать переданный на его разрешение спор, в том числе в случаях, когда одна из сторон возражает против арбитражного разбирательства по причине недействительности арбитражного соглашения. Для этой цели арбитражная оговорка, являющаяся частью договора, толкуется как соглашение, не зависящее от других условий договора. Вынесение арбитражем решения о недействительности договора не влечет за собой недействительности арбитражной оговорки.</w:t>
      </w:r>
    </w:p>
    <w:p w:rsidR="00017310" w:rsidRDefault="00017310" w:rsidP="009D1A32">
      <w:pPr>
        <w:ind w:firstLine="709"/>
        <w:jc w:val="both"/>
        <w:rPr>
          <w:rFonts w:ascii="Times New Roman" w:hAnsi="Times New Roman" w:cs="Times New Roman"/>
          <w:color w:val="000000"/>
        </w:rPr>
      </w:pPr>
      <w:r w:rsidRPr="00017310">
        <w:rPr>
          <w:rFonts w:ascii="Times New Roman" w:hAnsi="Times New Roman" w:cs="Times New Roman"/>
          <w:color w:val="000000"/>
          <w:shd w:val="clear" w:color="auto" w:fill="FFFFFF"/>
        </w:rPr>
        <w:t>При этом в силу п. 2 ст. 20 Закона об арбитраже сторона вправе заявить об отсутствии у арбитража полномочий рассматривать переданный на его разрешение спор до представления ею первого заявления по существу спора. Таким образом, если сторона представляет свои пояснения или возражения по существу спора, считается что тем самым, она «ввязывается в процесс», признав наличие компетенции у арбитража.</w:t>
      </w:r>
    </w:p>
    <w:p w:rsidR="00017310" w:rsidRDefault="00017310" w:rsidP="009D1A32">
      <w:pPr>
        <w:ind w:firstLine="709"/>
        <w:jc w:val="both"/>
        <w:rPr>
          <w:rFonts w:ascii="Times New Roman" w:hAnsi="Times New Roman" w:cs="Times New Roman"/>
          <w:color w:val="000000"/>
        </w:rPr>
      </w:pPr>
      <w:r w:rsidRPr="00017310">
        <w:rPr>
          <w:rFonts w:ascii="Times New Roman" w:hAnsi="Times New Roman" w:cs="Times New Roman"/>
          <w:color w:val="000000"/>
          <w:shd w:val="clear" w:color="auto" w:fill="FFFFFF"/>
        </w:rPr>
        <w:t>При этом следует иметь в виду, что в соответствии с п. 2 ст. 9 Закона об арбитраже арбитражное соглашение также считается заключенным в письменной форме, если оно заключается путем обмена исковым заявлением и отзывом на иск, в которых одна из сторон утверждает о наличии соглашения, а другая против этого не возражает. Таким образом, арбитражное соглашение по договору займа между коммерческой организацией и физическим лицом, не являющимся индивидуальным предпринимателем, может быть заключено путем обмена иском и отзывом на иск.</w:t>
      </w:r>
    </w:p>
    <w:p w:rsidR="00017310" w:rsidRDefault="00017310" w:rsidP="009D1A32">
      <w:pPr>
        <w:ind w:firstLine="709"/>
        <w:jc w:val="both"/>
        <w:rPr>
          <w:rFonts w:ascii="Times New Roman" w:hAnsi="Times New Roman" w:cs="Times New Roman"/>
          <w:color w:val="000000"/>
        </w:rPr>
      </w:pPr>
      <w:r w:rsidRPr="00017310">
        <w:rPr>
          <w:rFonts w:ascii="Times New Roman" w:hAnsi="Times New Roman" w:cs="Times New Roman"/>
          <w:color w:val="000000"/>
          <w:shd w:val="clear" w:color="auto" w:fill="FFFFFF"/>
        </w:rPr>
        <w:t>В том случае, если арбитраж придет к выводу о недействительности арбитражного соглашения, он согласно подпункту 2) п. 2 ст. 49 Закона об арбитраже должен вынести определение о прекращении арбитражного разбирательства, поскольку переданный на рассмотрение в арбитраж спор не относится к его компетенции в связи с недействительностью арбитражного соглашения.</w:t>
      </w:r>
    </w:p>
    <w:p w:rsidR="009D1A32" w:rsidRPr="00B869BE" w:rsidRDefault="00017310" w:rsidP="009D1A32">
      <w:pPr>
        <w:ind w:firstLine="709"/>
        <w:jc w:val="both"/>
        <w:rPr>
          <w:rFonts w:ascii="Times New Roman" w:hAnsi="Times New Roman" w:cs="Times New Roman"/>
          <w:b/>
          <w:lang w:val="ru-RU"/>
        </w:rPr>
      </w:pPr>
      <w:r w:rsidRPr="00017310">
        <w:rPr>
          <w:rFonts w:ascii="Times New Roman" w:hAnsi="Times New Roman" w:cs="Times New Roman"/>
          <w:color w:val="000000"/>
          <w:shd w:val="clear" w:color="auto" w:fill="FFFFFF"/>
        </w:rPr>
        <w:t xml:space="preserve">Следует обратить внимание, что изложенное в настоящем письме на арбитражные соглашения по договорам займа между коммерческой организацией и физическим лицом, не являющимся индивидуальным предпринимателем, заключенные до 3 февраля 2019 года, не </w:t>
      </w:r>
      <w:r w:rsidRPr="00B869BE">
        <w:rPr>
          <w:rFonts w:ascii="Times New Roman" w:hAnsi="Times New Roman" w:cs="Times New Roman"/>
          <w:color w:val="000000"/>
          <w:shd w:val="clear" w:color="auto" w:fill="FFFFFF"/>
        </w:rPr>
        <w:t>распространяется.</w:t>
      </w:r>
    </w:p>
    <w:p w:rsidR="009D1A32" w:rsidRPr="00B869BE" w:rsidRDefault="009D1A32" w:rsidP="009D1A32">
      <w:pPr>
        <w:ind w:firstLine="709"/>
        <w:jc w:val="both"/>
        <w:rPr>
          <w:rFonts w:ascii="Times New Roman" w:hAnsi="Times New Roman" w:cs="Times New Roman"/>
          <w:b/>
          <w:lang w:val="ru-RU"/>
        </w:rPr>
      </w:pPr>
    </w:p>
    <w:p w:rsidR="00DA5C42" w:rsidRPr="00B869BE" w:rsidRDefault="007E76B5" w:rsidP="009D1A32">
      <w:pPr>
        <w:ind w:firstLine="709"/>
        <w:jc w:val="both"/>
        <w:rPr>
          <w:rFonts w:ascii="Times New Roman" w:hAnsi="Times New Roman" w:cs="Times New Roman"/>
          <w:b/>
          <w:lang w:val="ru-RU"/>
        </w:rPr>
      </w:pPr>
      <w:r w:rsidRPr="00B869BE">
        <w:rPr>
          <w:rFonts w:ascii="Times New Roman" w:hAnsi="Times New Roman" w:cs="Times New Roman"/>
          <w:b/>
          <w:lang w:val="ru-RU"/>
        </w:rPr>
        <w:t xml:space="preserve">2. </w:t>
      </w:r>
      <w:r w:rsidR="00DA5C42" w:rsidRPr="00B869BE">
        <w:rPr>
          <w:rFonts w:ascii="Times New Roman" w:hAnsi="Times New Roman" w:cs="Times New Roman"/>
          <w:b/>
          <w:lang w:val="ru-RU"/>
        </w:rPr>
        <w:t>Относительно недействительных арбитражных оговорок</w:t>
      </w:r>
    </w:p>
    <w:p w:rsidR="00DA5C42" w:rsidRPr="00B869BE" w:rsidRDefault="00DA5C42" w:rsidP="009D1A32">
      <w:pPr>
        <w:ind w:firstLine="709"/>
        <w:jc w:val="both"/>
        <w:rPr>
          <w:rFonts w:ascii="Times New Roman" w:hAnsi="Times New Roman" w:cs="Times New Roman"/>
          <w:b/>
          <w:lang w:val="ru-RU"/>
        </w:rPr>
      </w:pPr>
    </w:p>
    <w:p w:rsidR="00B869BE" w:rsidRPr="00B869BE" w:rsidRDefault="00B869BE" w:rsidP="00B869BE">
      <w:pPr>
        <w:tabs>
          <w:tab w:val="left" w:pos="567"/>
        </w:tabs>
        <w:ind w:firstLine="709"/>
        <w:jc w:val="both"/>
        <w:rPr>
          <w:rFonts w:ascii="Times New Roman" w:hAnsi="Times New Roman" w:cs="Times New Roman"/>
        </w:rPr>
      </w:pPr>
      <w:r w:rsidRPr="00B869BE">
        <w:rPr>
          <w:rFonts w:ascii="Times New Roman" w:hAnsi="Times New Roman" w:cs="Times New Roman"/>
        </w:rPr>
        <w:t>В соответствии с</w:t>
      </w:r>
      <w:r>
        <w:rPr>
          <w:rFonts w:ascii="Times New Roman" w:hAnsi="Times New Roman" w:cs="Times New Roman"/>
          <w:lang w:val="ru-RU"/>
        </w:rPr>
        <w:t xml:space="preserve"> п. 4 ст. 8 Закона об арбитраже </w:t>
      </w:r>
      <w:r w:rsidRPr="00B869BE">
        <w:rPr>
          <w:rFonts w:ascii="Times New Roman" w:hAnsi="Times New Roman" w:cs="Times New Roman"/>
        </w:rPr>
        <w:t>арбитражное соглашение о разрешении спора по договору,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(договор присоединения), действительно, если такое соглашение заключено после возникновения оснований для предъявления иска.</w:t>
      </w:r>
    </w:p>
    <w:p w:rsidR="00B869BE" w:rsidRPr="00B869BE" w:rsidRDefault="00B869BE" w:rsidP="00B869BE">
      <w:pPr>
        <w:pStyle w:val="j14"/>
        <w:shd w:val="clear" w:color="auto" w:fill="FFFFFF"/>
        <w:spacing w:before="0" w:beforeAutospacing="0" w:after="0" w:afterAutospacing="0"/>
        <w:ind w:firstLine="709"/>
        <w:jc w:val="both"/>
        <w:textAlignment w:val="baseline"/>
      </w:pPr>
      <w:r w:rsidRPr="00B869BE">
        <w:rPr>
          <w:rStyle w:val="s0"/>
        </w:rPr>
        <w:t xml:space="preserve">Арбитражная оговорка, будучи включенной в текст договора присоединения, фактически лишает присоединяющуюся сторону свободы волеизъявления. Указанная норма своими идейными истоками имеет зарубежное законодательство о третейском (арбитражном) разбирательстве, которое также формулирует процессуальные конструкции, защищающие экономически более слабые стороны. Следует отметить, что во многих странах Европейского союза споры по защите прав потребителей вообще являются не </w:t>
      </w:r>
      <w:proofErr w:type="spellStart"/>
      <w:r w:rsidRPr="00B869BE">
        <w:rPr>
          <w:rStyle w:val="s0"/>
        </w:rPr>
        <w:t>арбитрабельными</w:t>
      </w:r>
      <w:proofErr w:type="spellEnd"/>
      <w:r w:rsidRPr="00B869BE">
        <w:rPr>
          <w:rStyle w:val="s0"/>
        </w:rPr>
        <w:t xml:space="preserve"> именно по причине необходимости защиты слабой стороны в договоре, которой, как правило, является потребитель. </w:t>
      </w:r>
    </w:p>
    <w:p w:rsidR="00B869BE" w:rsidRPr="00B869BE" w:rsidRDefault="00B869BE" w:rsidP="00B869BE">
      <w:pPr>
        <w:pStyle w:val="j14"/>
        <w:shd w:val="clear" w:color="auto" w:fill="FFFFFF"/>
        <w:spacing w:before="0" w:beforeAutospacing="0" w:after="0" w:afterAutospacing="0"/>
        <w:ind w:firstLine="709"/>
        <w:jc w:val="both"/>
        <w:textAlignment w:val="baseline"/>
      </w:pPr>
      <w:r>
        <w:rPr>
          <w:rStyle w:val="s0"/>
        </w:rPr>
        <w:t>С</w:t>
      </w:r>
      <w:r w:rsidRPr="00B869BE">
        <w:rPr>
          <w:rStyle w:val="s0"/>
        </w:rPr>
        <w:t xml:space="preserve">тороны договора присоединения могут заключить арбитражное соглашение после возникновения оснований для </w:t>
      </w:r>
      <w:r w:rsidRPr="00B869BE">
        <w:t>предъявления иска и передать дело на рассмотрение выбранному арбитражу.</w:t>
      </w:r>
    </w:p>
    <w:p w:rsidR="00DA5C42" w:rsidRDefault="00DA5C42" w:rsidP="009D1A32">
      <w:pPr>
        <w:ind w:firstLine="709"/>
        <w:jc w:val="both"/>
        <w:rPr>
          <w:rFonts w:ascii="Times New Roman" w:hAnsi="Times New Roman" w:cs="Times New Roman"/>
          <w:b/>
          <w:lang w:val="ru-RU"/>
        </w:rPr>
      </w:pPr>
    </w:p>
    <w:p w:rsidR="007E76B5" w:rsidRDefault="00DA5C42" w:rsidP="009D1A32">
      <w:pPr>
        <w:ind w:firstLine="709"/>
        <w:jc w:val="both"/>
        <w:rPr>
          <w:rFonts w:ascii="Times New Roman" w:hAnsi="Times New Roman" w:cs="Times New Roman"/>
          <w:b/>
          <w:lang w:val="ru-RU"/>
        </w:rPr>
      </w:pPr>
      <w:r>
        <w:rPr>
          <w:rFonts w:ascii="Times New Roman" w:hAnsi="Times New Roman" w:cs="Times New Roman"/>
          <w:b/>
          <w:lang w:val="ru-RU"/>
        </w:rPr>
        <w:t xml:space="preserve">3. </w:t>
      </w:r>
      <w:r w:rsidR="007E76B5">
        <w:rPr>
          <w:rFonts w:ascii="Times New Roman" w:hAnsi="Times New Roman" w:cs="Times New Roman"/>
          <w:b/>
          <w:lang w:val="ru-RU"/>
        </w:rPr>
        <w:t>Относительно неисполнимых арбитражных оговорок</w:t>
      </w:r>
    </w:p>
    <w:p w:rsidR="007E76B5" w:rsidRDefault="007E76B5" w:rsidP="009D1A32">
      <w:pPr>
        <w:ind w:firstLine="709"/>
        <w:jc w:val="both"/>
        <w:rPr>
          <w:rFonts w:ascii="Times New Roman" w:hAnsi="Times New Roman" w:cs="Times New Roman"/>
          <w:b/>
          <w:lang w:val="ru-RU"/>
        </w:rPr>
      </w:pPr>
    </w:p>
    <w:p w:rsidR="007E76B5" w:rsidRPr="007E76B5" w:rsidRDefault="007E76B5" w:rsidP="007E76B5">
      <w:pPr>
        <w:ind w:firstLine="709"/>
        <w:jc w:val="both"/>
        <w:rPr>
          <w:rFonts w:ascii="Times New Roman" w:hAnsi="Times New Roman" w:cs="Times New Roman"/>
          <w:lang w:val="ru-RU"/>
        </w:rPr>
      </w:pPr>
      <w:r w:rsidRPr="007E76B5">
        <w:rPr>
          <w:rFonts w:ascii="Times New Roman" w:hAnsi="Times New Roman" w:cs="Times New Roman"/>
          <w:lang w:val="ru-RU"/>
        </w:rPr>
        <w:lastRenderedPageBreak/>
        <w:t xml:space="preserve">В соответствии с п. </w:t>
      </w:r>
      <w:r w:rsidRPr="007E76B5">
        <w:rPr>
          <w:rFonts w:ascii="Times New Roman" w:hAnsi="Times New Roman" w:cs="Times New Roman"/>
        </w:rPr>
        <w:t>1</w:t>
      </w:r>
      <w:r w:rsidRPr="007E76B5">
        <w:rPr>
          <w:rFonts w:ascii="Times New Roman" w:hAnsi="Times New Roman" w:cs="Times New Roman"/>
          <w:lang w:val="ru-RU"/>
        </w:rPr>
        <w:t xml:space="preserve"> </w:t>
      </w:r>
      <w:proofErr w:type="spellStart"/>
      <w:r w:rsidRPr="007E76B5">
        <w:rPr>
          <w:rFonts w:ascii="Times New Roman" w:hAnsi="Times New Roman" w:cs="Times New Roman"/>
          <w:lang w:val="ru-RU"/>
        </w:rPr>
        <w:t>ст</w:t>
      </w:r>
      <w:proofErr w:type="spellEnd"/>
      <w:r w:rsidRPr="007E76B5">
        <w:rPr>
          <w:rFonts w:ascii="Times New Roman" w:hAnsi="Times New Roman" w:cs="Times New Roman"/>
        </w:rPr>
        <w:t>.</w:t>
      </w:r>
      <w:r w:rsidRPr="007E76B5">
        <w:rPr>
          <w:rFonts w:ascii="Times New Roman" w:hAnsi="Times New Roman" w:cs="Times New Roman"/>
          <w:lang w:val="ru-RU"/>
        </w:rPr>
        <w:t xml:space="preserve"> 8 Закона об арбитраже с</w:t>
      </w:r>
      <w:r w:rsidRPr="007E76B5">
        <w:rPr>
          <w:rFonts w:ascii="Times New Roman" w:hAnsi="Times New Roman" w:cs="Times New Roman"/>
        </w:rPr>
        <w:t>пор может быть передан на рассмотрение арбитража при наличии заключенного между сторонами</w:t>
      </w:r>
      <w:r w:rsidRPr="007E76B5">
        <w:rPr>
          <w:rFonts w:ascii="Times New Roman" w:hAnsi="Times New Roman" w:cs="Times New Roman"/>
          <w:lang w:val="ru-RU"/>
        </w:rPr>
        <w:t xml:space="preserve"> арбитражного соглашения, под которым согласно подпункту 4) ст. 2 Закона об арбитраже понимается </w:t>
      </w:r>
      <w:r w:rsidRPr="007E76B5">
        <w:rPr>
          <w:rFonts w:ascii="Times New Roman" w:hAnsi="Times New Roman" w:cs="Times New Roman"/>
        </w:rPr>
        <w:t>письменное соглашение сторон о передаче на рассмотрение в арбитраж спора, который возник или может возникнуть из гражданско-правовых отношений</w:t>
      </w:r>
      <w:r w:rsidRPr="007E76B5">
        <w:rPr>
          <w:rFonts w:ascii="Times New Roman" w:hAnsi="Times New Roman" w:cs="Times New Roman"/>
          <w:lang w:val="ru-RU"/>
        </w:rPr>
        <w:t>.</w:t>
      </w:r>
    </w:p>
    <w:p w:rsidR="00760FF0" w:rsidRDefault="00760FF0" w:rsidP="000553BA">
      <w:pPr>
        <w:ind w:firstLine="709"/>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 xml:space="preserve">В том случае, когда арбитраж, предусмотренный в оговорке, к моменту возникновения спора прекратил свое существование, такое арбитражное соглашения является неисполнимым. </w:t>
      </w:r>
    </w:p>
    <w:p w:rsidR="000553BA" w:rsidRDefault="00760FF0" w:rsidP="000553BA">
      <w:pPr>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lang w:val="ru-RU"/>
        </w:rPr>
        <w:t xml:space="preserve">В соответствии со </w:t>
      </w:r>
      <w:r w:rsidR="000553BA" w:rsidRPr="00017310">
        <w:rPr>
          <w:rFonts w:ascii="Times New Roman" w:hAnsi="Times New Roman" w:cs="Times New Roman"/>
          <w:color w:val="000000"/>
          <w:shd w:val="clear" w:color="auto" w:fill="FFFFFF"/>
        </w:rPr>
        <w:t>ст. 10 Закона об арбитраже</w:t>
      </w:r>
      <w:r>
        <w:rPr>
          <w:rFonts w:ascii="Times New Roman" w:hAnsi="Times New Roman" w:cs="Times New Roman"/>
          <w:color w:val="000000"/>
          <w:shd w:val="clear" w:color="auto" w:fill="FFFFFF"/>
          <w:lang w:val="ru-RU"/>
        </w:rPr>
        <w:t xml:space="preserve"> </w:t>
      </w:r>
      <w:r w:rsidR="000553BA" w:rsidRPr="00017310">
        <w:rPr>
          <w:rFonts w:ascii="Times New Roman" w:hAnsi="Times New Roman" w:cs="Times New Roman"/>
          <w:color w:val="000000"/>
          <w:shd w:val="clear" w:color="auto" w:fill="FFFFFF"/>
        </w:rPr>
        <w:t>суд, в который подан иск по предмету арбитражного разбирательства, должен, если любая из сторон просит об этом, не позднее представления своего первого заявления по существу спора направить стороны в арбитраж, если не найдет, что арбитражное соглашение недействительно, утратило силу или не может быть исполнено.</w:t>
      </w:r>
    </w:p>
    <w:p w:rsidR="00760FF0" w:rsidRPr="00760FF0" w:rsidRDefault="00760FF0" w:rsidP="000553BA">
      <w:pPr>
        <w:ind w:firstLine="709"/>
        <w:jc w:val="both"/>
        <w:rPr>
          <w:rFonts w:ascii="Times New Roman" w:hAnsi="Times New Roman" w:cs="Times New Roman"/>
          <w:color w:val="000000"/>
          <w:lang w:val="ru-RU"/>
        </w:rPr>
      </w:pPr>
      <w:r>
        <w:rPr>
          <w:rFonts w:ascii="Times New Roman" w:hAnsi="Times New Roman" w:cs="Times New Roman"/>
          <w:color w:val="000000"/>
          <w:shd w:val="clear" w:color="auto" w:fill="FFFFFF"/>
          <w:lang w:val="ru-RU"/>
        </w:rPr>
        <w:t>Таким образом, когда арбитражное соглашение не может быть исполнено, спор подлежит рассмотрению судом в соответствии с ГПК.</w:t>
      </w:r>
      <w:bookmarkStart w:id="0" w:name="_GoBack"/>
      <w:bookmarkEnd w:id="0"/>
    </w:p>
    <w:p w:rsidR="007E76B5" w:rsidRDefault="007E76B5" w:rsidP="007E76B5">
      <w:pPr>
        <w:ind w:firstLine="709"/>
        <w:jc w:val="both"/>
      </w:pPr>
    </w:p>
    <w:p w:rsidR="007E76B5" w:rsidRPr="007E76B5" w:rsidRDefault="007E76B5" w:rsidP="007E76B5">
      <w:pPr>
        <w:ind w:firstLine="709"/>
        <w:jc w:val="both"/>
        <w:rPr>
          <w:rFonts w:ascii="Times New Roman" w:hAnsi="Times New Roman" w:cs="Times New Roman"/>
        </w:rPr>
      </w:pPr>
    </w:p>
    <w:p w:rsidR="00017310" w:rsidRDefault="00017310" w:rsidP="009D1A32">
      <w:pPr>
        <w:ind w:firstLine="709"/>
        <w:jc w:val="both"/>
        <w:rPr>
          <w:rFonts w:ascii="Times New Roman" w:hAnsi="Times New Roman" w:cs="Times New Roman"/>
          <w:b/>
          <w:lang w:val="ru-RU"/>
        </w:rPr>
      </w:pPr>
    </w:p>
    <w:p w:rsidR="00017310" w:rsidRDefault="00017310" w:rsidP="009D1A32">
      <w:pPr>
        <w:ind w:firstLine="709"/>
        <w:jc w:val="both"/>
        <w:rPr>
          <w:rFonts w:ascii="Times New Roman" w:hAnsi="Times New Roman" w:cs="Times New Roman"/>
          <w:b/>
          <w:lang w:val="ru-RU"/>
        </w:rPr>
      </w:pPr>
      <w:r>
        <w:rPr>
          <w:rFonts w:ascii="Times New Roman" w:hAnsi="Times New Roman" w:cs="Times New Roman"/>
          <w:b/>
          <w:lang w:val="ru-RU"/>
        </w:rPr>
        <w:t xml:space="preserve">Председатель Правления </w:t>
      </w:r>
    </w:p>
    <w:p w:rsidR="00017310" w:rsidRDefault="00017310" w:rsidP="009D1A32">
      <w:pPr>
        <w:ind w:firstLine="709"/>
        <w:jc w:val="both"/>
        <w:rPr>
          <w:rFonts w:ascii="Times New Roman" w:hAnsi="Times New Roman" w:cs="Times New Roman"/>
          <w:b/>
          <w:lang w:val="ru-RU"/>
        </w:rPr>
      </w:pPr>
      <w:r>
        <w:rPr>
          <w:rFonts w:ascii="Times New Roman" w:hAnsi="Times New Roman" w:cs="Times New Roman"/>
          <w:b/>
          <w:lang w:val="ru-RU"/>
        </w:rPr>
        <w:t>Арбитражной палаты Казахстана,</w:t>
      </w:r>
    </w:p>
    <w:p w:rsidR="00017310" w:rsidRDefault="00017310" w:rsidP="009D1A32">
      <w:pPr>
        <w:ind w:firstLine="709"/>
        <w:jc w:val="both"/>
        <w:rPr>
          <w:rFonts w:ascii="Times New Roman" w:hAnsi="Times New Roman" w:cs="Times New Roman"/>
          <w:b/>
          <w:lang w:val="ru-RU"/>
        </w:rPr>
      </w:pPr>
      <w:r>
        <w:rPr>
          <w:rFonts w:ascii="Times New Roman" w:hAnsi="Times New Roman" w:cs="Times New Roman"/>
          <w:b/>
          <w:lang w:val="ru-RU"/>
        </w:rPr>
        <w:t xml:space="preserve">академик НАН РК, </w:t>
      </w:r>
      <w:proofErr w:type="spellStart"/>
      <w:r>
        <w:rPr>
          <w:rFonts w:ascii="Times New Roman" w:hAnsi="Times New Roman" w:cs="Times New Roman"/>
          <w:b/>
          <w:lang w:val="ru-RU"/>
        </w:rPr>
        <w:t>д.ю.н</w:t>
      </w:r>
      <w:proofErr w:type="spellEnd"/>
      <w:r>
        <w:rPr>
          <w:rFonts w:ascii="Times New Roman" w:hAnsi="Times New Roman" w:cs="Times New Roman"/>
          <w:b/>
          <w:lang w:val="ru-RU"/>
        </w:rPr>
        <w:t xml:space="preserve">., </w:t>
      </w:r>
    </w:p>
    <w:p w:rsidR="00017310" w:rsidRDefault="00017310" w:rsidP="009D1A32">
      <w:pPr>
        <w:ind w:firstLine="709"/>
        <w:jc w:val="both"/>
        <w:rPr>
          <w:rFonts w:ascii="Times New Roman" w:hAnsi="Times New Roman" w:cs="Times New Roman"/>
          <w:b/>
          <w:lang w:val="ru-RU"/>
        </w:rPr>
      </w:pPr>
      <w:r>
        <w:rPr>
          <w:rFonts w:ascii="Times New Roman" w:hAnsi="Times New Roman" w:cs="Times New Roman"/>
          <w:b/>
          <w:lang w:val="ru-RU"/>
        </w:rPr>
        <w:t>профессор                                                                                      /Сулейменов М.К./</w:t>
      </w:r>
    </w:p>
    <w:p w:rsidR="00017310" w:rsidRPr="00017310" w:rsidRDefault="00017310" w:rsidP="009D1A32">
      <w:pPr>
        <w:ind w:firstLine="709"/>
        <w:jc w:val="both"/>
        <w:rPr>
          <w:rFonts w:ascii="Times New Roman" w:hAnsi="Times New Roman" w:cs="Times New Roman"/>
          <w:b/>
          <w:lang w:val="ru-RU"/>
        </w:rPr>
      </w:pPr>
    </w:p>
    <w:p w:rsidR="009D1A32" w:rsidRPr="00017310" w:rsidRDefault="009D1A32" w:rsidP="009D1A32">
      <w:pPr>
        <w:pStyle w:val="a3"/>
        <w:ind w:left="0" w:firstLine="709"/>
        <w:jc w:val="both"/>
        <w:rPr>
          <w:rFonts w:ascii="Times New Roman" w:hAnsi="Times New Roman" w:cs="Times New Roman"/>
          <w:lang w:val="ru-RU"/>
        </w:rPr>
      </w:pPr>
    </w:p>
    <w:p w:rsidR="0037638E" w:rsidRPr="00017310" w:rsidRDefault="0037638E">
      <w:pPr>
        <w:ind w:firstLine="709"/>
        <w:rPr>
          <w:rFonts w:ascii="Times New Roman" w:hAnsi="Times New Roman" w:cs="Times New Roman"/>
        </w:rPr>
      </w:pPr>
    </w:p>
    <w:p w:rsidR="0037638E" w:rsidRDefault="0037638E"/>
    <w:p w:rsidR="0037638E" w:rsidRDefault="0037638E"/>
    <w:p w:rsidR="0037638E" w:rsidRDefault="0037638E"/>
    <w:p w:rsidR="0037638E" w:rsidRDefault="0037638E"/>
    <w:p w:rsidR="0037638E" w:rsidRDefault="0037638E"/>
    <w:p w:rsidR="0037638E" w:rsidRDefault="0037638E"/>
    <w:p w:rsidR="0037638E" w:rsidRDefault="0037638E"/>
    <w:sectPr w:rsidR="0037638E" w:rsidSect="00017310">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0C" w:rsidRDefault="005A380C" w:rsidP="007E76B5">
      <w:r>
        <w:separator/>
      </w:r>
    </w:p>
  </w:endnote>
  <w:endnote w:type="continuationSeparator" w:id="0">
    <w:p w:rsidR="005A380C" w:rsidRDefault="005A380C" w:rsidP="007E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54006"/>
      <w:docPartObj>
        <w:docPartGallery w:val="Page Numbers (Bottom of Page)"/>
        <w:docPartUnique/>
      </w:docPartObj>
    </w:sdtPr>
    <w:sdtEndPr/>
    <w:sdtContent>
      <w:p w:rsidR="007E76B5" w:rsidRDefault="007E76B5">
        <w:pPr>
          <w:pStyle w:val="a6"/>
          <w:jc w:val="right"/>
        </w:pPr>
        <w:r>
          <w:fldChar w:fldCharType="begin"/>
        </w:r>
        <w:r>
          <w:instrText>PAGE   \* MERGEFORMAT</w:instrText>
        </w:r>
        <w:r>
          <w:fldChar w:fldCharType="separate"/>
        </w:r>
        <w:r w:rsidR="00760FF0" w:rsidRPr="00760FF0">
          <w:rPr>
            <w:noProof/>
            <w:lang w:val="ru-RU"/>
          </w:rPr>
          <w:t>4</w:t>
        </w:r>
        <w:r>
          <w:fldChar w:fldCharType="end"/>
        </w:r>
      </w:p>
    </w:sdtContent>
  </w:sdt>
  <w:p w:rsidR="007E76B5" w:rsidRDefault="007E76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0C" w:rsidRDefault="005A380C" w:rsidP="007E76B5">
      <w:r>
        <w:separator/>
      </w:r>
    </w:p>
  </w:footnote>
  <w:footnote w:type="continuationSeparator" w:id="0">
    <w:p w:rsidR="005A380C" w:rsidRDefault="005A380C" w:rsidP="007E76B5">
      <w:r>
        <w:continuationSeparator/>
      </w:r>
    </w:p>
  </w:footnote>
  <w:footnote w:id="1">
    <w:p w:rsidR="00DA5C42" w:rsidRPr="00DA5C42" w:rsidRDefault="00DA5C42" w:rsidP="00DA5C42">
      <w:pPr>
        <w:ind w:firstLine="709"/>
        <w:jc w:val="both"/>
        <w:rPr>
          <w:rFonts w:ascii="Times New Roman" w:hAnsi="Times New Roman" w:cs="Times New Roman"/>
          <w:sz w:val="20"/>
          <w:szCs w:val="20"/>
        </w:rPr>
      </w:pPr>
      <w:r>
        <w:rPr>
          <w:rStyle w:val="ac"/>
        </w:rPr>
        <w:footnoteRef/>
      </w:r>
      <w:r>
        <w:t xml:space="preserve"> </w:t>
      </w:r>
      <w:hyperlink r:id="rId1" w:history="1">
        <w:r w:rsidRPr="00DA5C42">
          <w:rPr>
            <w:rStyle w:val="a9"/>
            <w:rFonts w:ascii="Times New Roman" w:hAnsi="Times New Roman" w:cs="Times New Roman"/>
            <w:color w:val="auto"/>
            <w:sz w:val="20"/>
            <w:szCs w:val="20"/>
            <w:u w:val="none"/>
          </w:rPr>
          <w:t>https://palata.org/pismo-v-verhovnyj-sud-respubliki-kazahstan/</w:t>
        </w:r>
      </w:hyperlink>
    </w:p>
    <w:p w:rsidR="00DA5C42" w:rsidRPr="00DA5C42" w:rsidRDefault="00DA5C42">
      <w:pPr>
        <w:pStyle w:val="aa"/>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976"/>
    <w:multiLevelType w:val="multilevel"/>
    <w:tmpl w:val="D2D83FDA"/>
    <w:lvl w:ilvl="0">
      <w:numFmt w:val="decimalZero"/>
      <w:lvlText w:val="%1."/>
      <w:lvlJc w:val="left"/>
      <w:pPr>
        <w:ind w:left="900" w:hanging="900"/>
      </w:pPr>
      <w:rPr>
        <w:rFonts w:hint="default"/>
      </w:rPr>
    </w:lvl>
    <w:lvl w:ilvl="1">
      <w:numFmt w:val="decimalZero"/>
      <w:lvlText w:val="%1.%2.0."/>
      <w:lvlJc w:val="left"/>
      <w:pPr>
        <w:ind w:left="1800" w:hanging="900"/>
      </w:pPr>
      <w:rPr>
        <w:rFonts w:hint="default"/>
      </w:rPr>
    </w:lvl>
    <w:lvl w:ilvl="2">
      <w:start w:val="1"/>
      <w:numFmt w:val="decimalZero"/>
      <w:lvlText w:val="%1.%2.%3."/>
      <w:lvlJc w:val="left"/>
      <w:pPr>
        <w:ind w:left="2700" w:hanging="900"/>
      </w:pPr>
      <w:rPr>
        <w:rFonts w:hint="default"/>
      </w:rPr>
    </w:lvl>
    <w:lvl w:ilvl="3">
      <w:start w:val="1"/>
      <w:numFmt w:val="decimal"/>
      <w:lvlText w:val="%1.%2.%3.%4."/>
      <w:lvlJc w:val="left"/>
      <w:pPr>
        <w:ind w:left="3600" w:hanging="90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5BA62B0D"/>
    <w:multiLevelType w:val="multilevel"/>
    <w:tmpl w:val="AA8EAFAA"/>
    <w:lvl w:ilvl="0">
      <w:numFmt w:val="decimalZero"/>
      <w:lvlText w:val="%1."/>
      <w:lvlJc w:val="left"/>
      <w:pPr>
        <w:ind w:left="960" w:hanging="960"/>
      </w:pPr>
      <w:rPr>
        <w:rFonts w:hint="default"/>
      </w:rPr>
    </w:lvl>
    <w:lvl w:ilvl="1">
      <w:numFmt w:val="decimalZero"/>
      <w:lvlText w:val="%1.%2.0."/>
      <w:lvlJc w:val="left"/>
      <w:pPr>
        <w:ind w:left="1526" w:hanging="960"/>
      </w:pPr>
      <w:rPr>
        <w:rFonts w:hint="default"/>
      </w:rPr>
    </w:lvl>
    <w:lvl w:ilvl="2">
      <w:start w:val="1"/>
      <w:numFmt w:val="decimalZero"/>
      <w:lvlText w:val="%1.%2.%3."/>
      <w:lvlJc w:val="left"/>
      <w:pPr>
        <w:ind w:left="2092" w:hanging="960"/>
      </w:pPr>
      <w:rPr>
        <w:rFonts w:hint="default"/>
      </w:rPr>
    </w:lvl>
    <w:lvl w:ilvl="3">
      <w:start w:val="1"/>
      <w:numFmt w:val="decimal"/>
      <w:lvlText w:val="%1.%2.%3.%4."/>
      <w:lvlJc w:val="left"/>
      <w:pPr>
        <w:ind w:left="2658" w:hanging="96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 w15:restartNumberingAfterBreak="0">
    <w:nsid w:val="644446B5"/>
    <w:multiLevelType w:val="multilevel"/>
    <w:tmpl w:val="883E193A"/>
    <w:lvl w:ilvl="0">
      <w:numFmt w:val="decimalZero"/>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8E"/>
    <w:rsid w:val="00017310"/>
    <w:rsid w:val="000553BA"/>
    <w:rsid w:val="00183298"/>
    <w:rsid w:val="0037638E"/>
    <w:rsid w:val="0056425D"/>
    <w:rsid w:val="005A380C"/>
    <w:rsid w:val="00760FF0"/>
    <w:rsid w:val="007E333A"/>
    <w:rsid w:val="007E76B5"/>
    <w:rsid w:val="008F2A41"/>
    <w:rsid w:val="009D1A32"/>
    <w:rsid w:val="00A9444B"/>
    <w:rsid w:val="00B869BE"/>
    <w:rsid w:val="00CD3D9D"/>
    <w:rsid w:val="00DA5C42"/>
    <w:rsid w:val="00E3607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BE0C"/>
  <w15:chartTrackingRefBased/>
  <w15:docId w15:val="{4762D374-16A2-FD40-99A0-3D105992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A32"/>
    <w:pPr>
      <w:ind w:left="720"/>
      <w:contextualSpacing/>
    </w:pPr>
  </w:style>
  <w:style w:type="paragraph" w:styleId="a4">
    <w:name w:val="header"/>
    <w:basedOn w:val="a"/>
    <w:link w:val="a5"/>
    <w:uiPriority w:val="99"/>
    <w:unhideWhenUsed/>
    <w:rsid w:val="007E76B5"/>
    <w:pPr>
      <w:tabs>
        <w:tab w:val="center" w:pos="4677"/>
        <w:tab w:val="right" w:pos="9355"/>
      </w:tabs>
    </w:pPr>
  </w:style>
  <w:style w:type="character" w:customStyle="1" w:styleId="a5">
    <w:name w:val="Верхний колонтитул Знак"/>
    <w:basedOn w:val="a0"/>
    <w:link w:val="a4"/>
    <w:uiPriority w:val="99"/>
    <w:rsid w:val="007E76B5"/>
  </w:style>
  <w:style w:type="paragraph" w:styleId="a6">
    <w:name w:val="footer"/>
    <w:basedOn w:val="a"/>
    <w:link w:val="a7"/>
    <w:uiPriority w:val="99"/>
    <w:unhideWhenUsed/>
    <w:rsid w:val="007E76B5"/>
    <w:pPr>
      <w:tabs>
        <w:tab w:val="center" w:pos="4677"/>
        <w:tab w:val="right" w:pos="9355"/>
      </w:tabs>
    </w:pPr>
  </w:style>
  <w:style w:type="character" w:customStyle="1" w:styleId="a7">
    <w:name w:val="Нижний колонтитул Знак"/>
    <w:basedOn w:val="a0"/>
    <w:link w:val="a6"/>
    <w:uiPriority w:val="99"/>
    <w:rsid w:val="007E76B5"/>
  </w:style>
  <w:style w:type="character" w:customStyle="1" w:styleId="a8">
    <w:name w:val="a"/>
    <w:rsid w:val="007E76B5"/>
    <w:rPr>
      <w:color w:val="333399"/>
      <w:u w:val="single"/>
    </w:rPr>
  </w:style>
  <w:style w:type="character" w:styleId="a9">
    <w:name w:val="Hyperlink"/>
    <w:basedOn w:val="a0"/>
    <w:uiPriority w:val="99"/>
    <w:semiHidden/>
    <w:unhideWhenUsed/>
    <w:rsid w:val="00DA5C42"/>
    <w:rPr>
      <w:color w:val="0000FF"/>
      <w:u w:val="single"/>
    </w:rPr>
  </w:style>
  <w:style w:type="paragraph" w:styleId="aa">
    <w:name w:val="footnote text"/>
    <w:basedOn w:val="a"/>
    <w:link w:val="ab"/>
    <w:uiPriority w:val="99"/>
    <w:semiHidden/>
    <w:unhideWhenUsed/>
    <w:rsid w:val="00DA5C42"/>
    <w:rPr>
      <w:sz w:val="20"/>
      <w:szCs w:val="20"/>
    </w:rPr>
  </w:style>
  <w:style w:type="character" w:customStyle="1" w:styleId="ab">
    <w:name w:val="Текст сноски Знак"/>
    <w:basedOn w:val="a0"/>
    <w:link w:val="aa"/>
    <w:uiPriority w:val="99"/>
    <w:semiHidden/>
    <w:rsid w:val="00DA5C42"/>
    <w:rPr>
      <w:sz w:val="20"/>
      <w:szCs w:val="20"/>
    </w:rPr>
  </w:style>
  <w:style w:type="character" w:styleId="ac">
    <w:name w:val="footnote reference"/>
    <w:basedOn w:val="a0"/>
    <w:uiPriority w:val="99"/>
    <w:semiHidden/>
    <w:unhideWhenUsed/>
    <w:rsid w:val="00DA5C42"/>
    <w:rPr>
      <w:vertAlign w:val="superscript"/>
    </w:rPr>
  </w:style>
  <w:style w:type="character" w:customStyle="1" w:styleId="s0">
    <w:name w:val="s0"/>
    <w:rsid w:val="00B869BE"/>
    <w:rPr>
      <w:rFonts w:ascii="Times New Roman" w:hAnsi="Times New Roman" w:cs="Times New Roman" w:hint="default"/>
      <w:b w:val="0"/>
      <w:bCs w:val="0"/>
      <w:i w:val="0"/>
      <w:iCs w:val="0"/>
      <w:color w:val="000000"/>
    </w:rPr>
  </w:style>
  <w:style w:type="paragraph" w:customStyle="1" w:styleId="j14">
    <w:name w:val="j14"/>
    <w:basedOn w:val="a"/>
    <w:rsid w:val="00B869BE"/>
    <w:pPr>
      <w:spacing w:before="100" w:beforeAutospacing="1" w:after="100" w:afterAutospacing="1"/>
    </w:pPr>
    <w:rPr>
      <w:rFonts w:ascii="Times New Roman" w:eastAsia="Times New Roman" w:hAnsi="Times New Roman" w:cs="Times New Roman"/>
      <w:lang w:val="ru-RU" w:eastAsia="ru-RU"/>
    </w:rPr>
  </w:style>
  <w:style w:type="paragraph" w:customStyle="1" w:styleId="j16">
    <w:name w:val="j16"/>
    <w:basedOn w:val="a"/>
    <w:rsid w:val="00B869BE"/>
    <w:pPr>
      <w:spacing w:before="100" w:beforeAutospacing="1" w:after="100" w:afterAutospacing="1"/>
    </w:pPr>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alata.org/pismo-v-verhovnyj-sud-respubliki-kazahs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D52B-7D8F-4D63-8D7D-6FD7BEC1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Хан</dc:creator>
  <cp:keywords/>
  <dc:description/>
  <cp:lastModifiedBy>Пользователь Windows</cp:lastModifiedBy>
  <cp:revision>12</cp:revision>
  <dcterms:created xsi:type="dcterms:W3CDTF">2020-03-17T09:41:00Z</dcterms:created>
  <dcterms:modified xsi:type="dcterms:W3CDTF">2020-03-20T08:49:00Z</dcterms:modified>
</cp:coreProperties>
</file>